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申万宏源证券</w:t>
      </w:r>
      <w:r>
        <w:rPr>
          <w:rFonts w:hint="eastAsia" w:ascii="方正小标宋简体" w:hAnsi="方正小标宋简体" w:eastAsia="方正小标宋简体" w:cs="方正小标宋简体"/>
          <w:b/>
          <w:bCs w:val="0"/>
          <w:sz w:val="44"/>
          <w:szCs w:val="44"/>
          <w:lang w:val="en-US" w:eastAsia="zh-CN"/>
        </w:rPr>
        <w:t>天津</w:t>
      </w:r>
      <w:r>
        <w:rPr>
          <w:rFonts w:hint="eastAsia" w:ascii="方正小标宋简体" w:hAnsi="方正小标宋简体" w:eastAsia="方正小标宋简体" w:cs="方正小标宋简体"/>
          <w:b/>
          <w:bCs w:val="0"/>
          <w:sz w:val="44"/>
          <w:szCs w:val="44"/>
        </w:rPr>
        <w:t>分公司</w:t>
      </w:r>
    </w:p>
    <w:p>
      <w:pPr>
        <w:spacing w:line="500" w:lineRule="exact"/>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202</w:t>
      </w:r>
      <w:r>
        <w:rPr>
          <w:rFonts w:hint="eastAsia" w:ascii="方正小标宋简体" w:hAnsi="方正小标宋简体" w:eastAsia="方正小标宋简体" w:cs="方正小标宋简体"/>
          <w:b/>
          <w:bCs w:val="0"/>
          <w:sz w:val="44"/>
          <w:szCs w:val="44"/>
          <w:lang w:val="en-US" w:eastAsia="zh-CN"/>
        </w:rPr>
        <w:t>6</w:t>
      </w:r>
      <w:r>
        <w:rPr>
          <w:rFonts w:hint="eastAsia" w:ascii="方正小标宋简体" w:hAnsi="方正小标宋简体" w:eastAsia="方正小标宋简体" w:cs="方正小标宋简体"/>
          <w:b/>
          <w:bCs w:val="0"/>
          <w:sz w:val="44"/>
          <w:szCs w:val="44"/>
        </w:rPr>
        <w:t>届秋季校园招聘简章</w:t>
      </w:r>
    </w:p>
    <w:p>
      <w:pPr>
        <w:keepNext w:val="0"/>
        <w:keepLines w:val="0"/>
        <w:pageBreakBefore w:val="0"/>
        <w:widowControl w:val="0"/>
        <w:kinsoku/>
        <w:wordWrap/>
        <w:overflowPunct/>
        <w:topLinePunct w:val="0"/>
        <w:autoSpaceDE/>
        <w:autoSpaceDN/>
        <w:bidi w:val="0"/>
        <w:adjustRightInd/>
        <w:snapToGrid/>
        <w:spacing w:before="240" w:line="56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rPr>
        <w:t>一、公司简介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i w:val="0"/>
          <w:iCs w:val="0"/>
          <w:caps w:val="0"/>
          <w:color w:val="252525"/>
          <w:spacing w:val="0"/>
          <w:sz w:val="32"/>
          <w:szCs w:val="32"/>
          <w:highlight w:val="none"/>
          <w:shd w:val="clear" w:fill="FFFFFF"/>
          <w:lang w:bidi="ar"/>
        </w:rPr>
      </w:pPr>
      <w:bookmarkStart w:id="2" w:name="_GoBack"/>
      <w:bookmarkStart w:id="0" w:name="OLE_LINK2"/>
      <w:r>
        <w:rPr>
          <w:rFonts w:hint="eastAsia" w:ascii="仿宋_GB2312" w:hAnsi="仿宋_GB2312" w:eastAsia="仿宋_GB2312" w:cs="仿宋_GB2312"/>
          <w:b w:val="0"/>
          <w:i w:val="0"/>
          <w:iCs w:val="0"/>
          <w:caps w:val="0"/>
          <w:color w:val="252525"/>
          <w:spacing w:val="0"/>
          <w:sz w:val="32"/>
          <w:szCs w:val="32"/>
          <w:highlight w:val="none"/>
          <w:shd w:val="clear" w:fill="FFFFFF"/>
          <w:lang w:bidi="ar"/>
        </w:rPr>
        <w:t>申万宏源证券有限公司是由新中国第一家股份制证券公司——申银万国证券股份有限公司与国内资本市场第一家上市证券公司——宏源证券股份有限公司，于2015年1月16日合并组建而成。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i w:val="0"/>
          <w:iCs w:val="0"/>
          <w:caps w:val="0"/>
          <w:color w:val="auto"/>
          <w:spacing w:val="0"/>
          <w:sz w:val="32"/>
          <w:szCs w:val="32"/>
          <w:highlight w:val="none"/>
          <w:shd w:val="clear" w:fill="FFFFFF"/>
          <w:lang w:val="en-US" w:eastAsia="zh-CN" w:bidi="ar"/>
        </w:rPr>
        <w:t>公司</w:t>
      </w:r>
      <w:r>
        <w:rPr>
          <w:rFonts w:hint="eastAsia" w:ascii="仿宋_GB2312" w:hAnsi="仿宋_GB2312" w:eastAsia="仿宋_GB2312" w:cs="仿宋_GB2312"/>
          <w:b w:val="0"/>
          <w:i w:val="0"/>
          <w:iCs w:val="0"/>
          <w:caps w:val="0"/>
          <w:color w:val="auto"/>
          <w:spacing w:val="0"/>
          <w:sz w:val="32"/>
          <w:szCs w:val="32"/>
          <w:highlight w:val="none"/>
          <w:shd w:val="clear" w:fill="FFFFFF"/>
          <w:lang w:bidi="ar"/>
        </w:rPr>
        <w:t>发挥“投资控股集团+证券子公司”的双层架构优势，为企业集团、个人投资者、专业机构投资者、金融同业机构及政府客户提供以资本市场为核心的全产业链综合金融服务</w:t>
      </w:r>
      <w:r>
        <w:rPr>
          <w:rFonts w:hint="eastAsia" w:ascii="仿宋_GB2312" w:hAnsi="仿宋_GB2312" w:eastAsia="仿宋_GB2312" w:cs="仿宋_GB2312"/>
          <w:b w:val="0"/>
          <w:i w:val="0"/>
          <w:iCs w:val="0"/>
          <w:caps w:val="0"/>
          <w:color w:val="auto"/>
          <w:spacing w:val="0"/>
          <w:sz w:val="32"/>
          <w:szCs w:val="32"/>
          <w:highlight w:val="none"/>
          <w:shd w:val="clear" w:fill="FFFFFF"/>
          <w:lang w:eastAsia="zh-CN" w:bidi="ar"/>
        </w:rPr>
        <w:t>。</w:t>
      </w:r>
      <w:r>
        <w:rPr>
          <w:rFonts w:hint="eastAsia" w:ascii="仿宋_GB2312" w:hAnsi="仿宋_GB2312" w:eastAsia="仿宋_GB2312" w:cs="仿宋_GB2312"/>
          <w:b w:val="0"/>
          <w:bCs w:val="0"/>
          <w:color w:val="252525"/>
          <w:sz w:val="32"/>
          <w:szCs w:val="32"/>
          <w:highlight w:val="none"/>
          <w:shd w:val="clear" w:fill="FFFFFF"/>
          <w:lang w:val="en-US" w:eastAsia="zh-CN" w:bidi="ar"/>
        </w:rPr>
        <w:t>分支机构是公司财富管理转型的重要抓手，也是连接投资者的重要窗口之一。</w:t>
      </w:r>
      <w:r>
        <w:rPr>
          <w:rFonts w:hint="eastAsia" w:ascii="仿宋_GB2312" w:hAnsi="仿宋_GB2312" w:eastAsia="仿宋_GB2312" w:cs="仿宋_GB2312"/>
          <w:b/>
          <w:bCs/>
          <w:color w:val="252525"/>
          <w:sz w:val="32"/>
          <w:szCs w:val="32"/>
          <w:highlight w:val="none"/>
          <w:shd w:val="clear" w:fill="FFFFFF"/>
          <w:lang w:val="en-US" w:eastAsia="zh-CN" w:bidi="ar"/>
        </w:rPr>
        <w:t>截止2025年8月，申万宏源证券证券分公司近60家，证券营业部近300个，分布于全国100+个城市。</w:t>
      </w:r>
      <w:bookmarkEnd w:id="2"/>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二、招聘岗位及要求</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bookmarkStart w:id="1" w:name="OLE_LINK1"/>
      <w:r>
        <w:rPr>
          <w:rFonts w:hint="eastAsia" w:ascii="仿宋_GB2312" w:hAnsi="仿宋_GB2312" w:eastAsia="仿宋_GB2312" w:cs="仿宋_GB2312"/>
          <w:sz w:val="32"/>
          <w:szCs w:val="32"/>
          <w:highlight w:val="none"/>
          <w:lang w:val="en-US" w:eastAsia="zh-CN"/>
        </w:rPr>
        <w:t>申万宏源证券有限公司财富顾问岗</w:t>
      </w:r>
      <w:bookmarkEnd w:id="1"/>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天津市</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（三）招聘要求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学历要求:本科及以上学历；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毕业时间: 境内院校学生毕业时间需在202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年1月至202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年7月之间; 境外院校学生毕业时间需在202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年5月至202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年7月之间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毕业时间以毕业证落款时间为准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：金融、财务、经济、法律、管理、理学、工学、文学等相关专业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三</w:t>
      </w:r>
      <w:r>
        <w:rPr>
          <w:rFonts w:hint="eastAsia" w:ascii="黑体" w:hAnsi="黑体" w:eastAsia="黑体" w:cs="黑体"/>
          <w:b/>
          <w:sz w:val="32"/>
          <w:szCs w:val="32"/>
        </w:rPr>
        <w:t>、招聘流程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网申</w:t>
      </w:r>
      <w:r>
        <w:rPr>
          <w:rFonts w:hint="eastAsia" w:ascii="仿宋_GB2312" w:hAnsi="仿宋_GB2312" w:eastAsia="仿宋_GB2312" w:cs="仿宋_GB2312"/>
          <w:bCs/>
          <w:sz w:val="32"/>
          <w:szCs w:val="32"/>
          <w:highlight w:val="none"/>
          <w:lang w:val="en-US" w:eastAsia="zh-CN"/>
        </w:rPr>
        <w:t>&amp;测评</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截止至2025年10月19日23：59分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2、笔试&amp;面</w:t>
      </w:r>
      <w:r>
        <w:rPr>
          <w:rFonts w:hint="eastAsia" w:ascii="仿宋_GB2312" w:hAnsi="仿宋_GB2312" w:eastAsia="仿宋_GB2312" w:cs="仿宋_GB2312"/>
          <w:bCs/>
          <w:sz w:val="32"/>
          <w:szCs w:val="32"/>
          <w:highlight w:val="none"/>
        </w:rPr>
        <w:t>试：</w:t>
      </w:r>
      <w:r>
        <w:rPr>
          <w:rFonts w:hint="eastAsia" w:ascii="仿宋_GB2312" w:hAnsi="仿宋_GB2312" w:eastAsia="仿宋_GB2312" w:cs="仿宋_GB2312"/>
          <w:bCs/>
          <w:sz w:val="32"/>
          <w:szCs w:val="32"/>
          <w:highlight w:val="none"/>
          <w:lang w:val="en-US" w:eastAsia="zh-CN"/>
        </w:rPr>
        <w:t>2025年11月初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实习</w:t>
      </w:r>
      <w:r>
        <w:rPr>
          <w:rFonts w:hint="eastAsia" w:ascii="仿宋_GB2312" w:hAnsi="仿宋_GB2312" w:eastAsia="仿宋_GB2312" w:cs="仿宋_GB2312"/>
          <w:bCs/>
          <w:sz w:val="32"/>
          <w:szCs w:val="32"/>
          <w:highlight w:val="none"/>
          <w:lang w:val="en-US" w:eastAsia="zh-CN"/>
        </w:rPr>
        <w:t>考察：根据用人部门需求视情安排实习，具体以收到的通知为准。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4、发放offer：2025年12月-2026年1月起</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四</w:t>
      </w:r>
      <w:r>
        <w:rPr>
          <w:rFonts w:hint="eastAsia" w:ascii="黑体" w:hAnsi="黑体" w:eastAsia="黑体" w:cs="黑体"/>
          <w:b/>
          <w:sz w:val="32"/>
          <w:szCs w:val="32"/>
        </w:rPr>
        <w:t>、投递方式</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PC端：进入申万宏源证券官网http://www.swhysc.com， “</w:t>
      </w:r>
      <w:r>
        <w:rPr>
          <w:rFonts w:hint="eastAsia" w:ascii="仿宋_GB2312" w:hAnsi="仿宋_GB2312" w:eastAsia="仿宋_GB2312" w:cs="仿宋_GB2312"/>
          <w:sz w:val="32"/>
          <w:szCs w:val="32"/>
          <w:lang w:val="en-US" w:eastAsia="zh-CN"/>
        </w:rPr>
        <w:t>加入我们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2026届校招-分支机构岗位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移动端：关注“申万宏源证券招聘”微信公众号，点击“加入我们-</w:t>
      </w:r>
      <w:r>
        <w:rPr>
          <w:rFonts w:hint="eastAsia" w:ascii="仿宋_GB2312" w:hAnsi="仿宋_GB2312" w:eastAsia="仿宋_GB2312" w:cs="仿宋_GB2312"/>
          <w:sz w:val="32"/>
          <w:szCs w:val="32"/>
          <w:lang w:val="en-US" w:eastAsia="zh-CN"/>
        </w:rPr>
        <w:t>2026届校招-分支机构岗位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2246630</wp:posOffset>
            </wp:positionH>
            <wp:positionV relativeFrom="paragraph">
              <wp:posOffset>107315</wp:posOffset>
            </wp:positionV>
            <wp:extent cx="1480820" cy="1480820"/>
            <wp:effectExtent l="0" t="0" r="5080" b="5080"/>
            <wp:wrapTopAndBottom/>
            <wp:docPr id="1" name="图片 1" descr="b71612a8b669f88ce1e426c0bb6768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1612a8b669f88ce1e426c0bb6768e9"/>
                    <pic:cNvPicPr>
                      <a:picLocks noChangeAspect="1"/>
                    </pic:cNvPicPr>
                  </pic:nvPicPr>
                  <pic:blipFill>
                    <a:blip r:embed="rId5"/>
                    <a:stretch>
                      <a:fillRect/>
                    </a:stretch>
                  </pic:blipFill>
                  <pic:spPr>
                    <a:xfrm>
                      <a:off x="0" y="0"/>
                      <a:ext cx="1480820" cy="14808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新申力，新起点，新视野，新未来</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我们期待与你一起携手</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3172D0-75E2-4AE4-BB93-C01D4F1072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9C6FD0-2ECA-495A-8BDD-27CB0B1652BA}"/>
  </w:font>
  <w:font w:name="方正小标宋简体">
    <w:panose1 w:val="02000000000000000000"/>
    <w:charset w:val="86"/>
    <w:family w:val="auto"/>
    <w:pitch w:val="default"/>
    <w:sig w:usb0="00000001" w:usb1="08000000" w:usb2="00000000" w:usb3="00000000" w:csb0="00040000" w:csb1="00000000"/>
    <w:embedRegular r:id="rId3" w:fontKey="{00D5EB35-6751-42A4-9CBF-E517BD0D7B13}"/>
  </w:font>
  <w:font w:name="仿宋_GB2312">
    <w:panose1 w:val="02010609030101010101"/>
    <w:charset w:val="86"/>
    <w:family w:val="auto"/>
    <w:pitch w:val="default"/>
    <w:sig w:usb0="00000001" w:usb1="080E0000" w:usb2="00000000" w:usb3="00000000" w:csb0="00040000" w:csb1="00000000"/>
    <w:embedRegular r:id="rId4" w:fontKey="{37A26EA3-73A1-4783-B026-D90F2C2C94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 xml:space="preserve">— </w: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fldChar w:fldCharType="begin"/>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instrText xml:space="preserve"> PAGE  \* MERGEFORMAT </w:instrTex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fldChar w:fldCharType="separate"/>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1</w: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fldChar w:fldCharType="end"/>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 xml:space="preserve">— </w: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fldChar w:fldCharType="begin"/>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instrText xml:space="preserve"> PAGE  \* MERGEFORMAT </w:instrTex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fldChar w:fldCharType="separate"/>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1</w: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fldChar w:fldCharType="end"/>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17D31"/>
    <w:rsid w:val="178C31AD"/>
    <w:rsid w:val="1D917D31"/>
    <w:rsid w:val="2B910740"/>
    <w:rsid w:val="3A381956"/>
    <w:rsid w:val="429D0359"/>
    <w:rsid w:val="49CF674B"/>
    <w:rsid w:val="4C8208C8"/>
    <w:rsid w:val="5D69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948</Words>
  <Characters>1044</Characters>
  <Lines>0</Lines>
  <Paragraphs>0</Paragraphs>
  <TotalTime>162</TotalTime>
  <ScaleCrop>false</ScaleCrop>
  <LinksUpToDate>false</LinksUpToDate>
  <CharactersWithSpaces>1047</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2025-09-10T09:16:00Z</dcterms:created>
  <dc:creator>Wwt</dc:creator>
  <cp:lastModifiedBy>Admin</cp:lastModifiedBy>
  <dcterms:modified xsi:type="dcterms:W3CDTF">2025-09-15T09:14:34Z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5ADA9C99953349A7A0B798F4F06EE03D_13</vt:lpwstr>
  </property>
  <property fmtid="{D5CDD505-2E9C-101B-9397-08002B2CF9AE}" pid="4" name="KSOTemplateDocerSaveRecord">
    <vt:lpwstr>eyJoZGlkIjoiOGYzYTRiMTBmMWI1NGExM2I1ZmMyY2IyODZiODNhNmEiLCJ1c2VySWQiOiI4MjA1NzIyMDcifQ==</vt:lpwstr>
  </property>
</Properties>
</file>